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7304" w:rsidRDefault="00037304" w:rsidP="00C84DFC">
      <w:pPr>
        <w:pStyle w:val="BodyText"/>
        <w:ind w:firstLine="0"/>
        <w:rPr>
          <w:b/>
        </w:rPr>
      </w:pPr>
      <w:r w:rsidRPr="00BF7735">
        <w:rPr>
          <w:b/>
        </w:rPr>
        <w:t>Work Scope:</w:t>
      </w:r>
    </w:p>
    <w:p w:rsidR="00037304" w:rsidRDefault="00037304" w:rsidP="00C84DFC">
      <w:pPr>
        <w:pStyle w:val="BodyText"/>
        <w:ind w:firstLine="0"/>
      </w:pPr>
      <w:r>
        <w:t>All activities that involve the delivery of rad materials to CAES, transfer of rad materials between rad labs, or the removal of rad materials from CAES.</w:t>
      </w:r>
    </w:p>
    <w:p w:rsidR="00037304" w:rsidRDefault="00037304" w:rsidP="00C84DFC">
      <w:pPr>
        <w:pStyle w:val="BodyText"/>
        <w:spacing w:before="240"/>
        <w:ind w:firstLine="0"/>
      </w:pPr>
      <w:r w:rsidRPr="00C3173A">
        <w:rPr>
          <w:b/>
        </w:rPr>
        <w:t>Applicability:</w:t>
      </w:r>
    </w:p>
    <w:p w:rsidR="00037304" w:rsidRDefault="00037304" w:rsidP="00C84DFC">
      <w:pPr>
        <w:pStyle w:val="ListBullet"/>
      </w:pPr>
      <w:r>
        <w:t>Technical Safety Office personnel or their designees.</w:t>
      </w:r>
    </w:p>
    <w:p w:rsidR="00037304" w:rsidRDefault="00037304" w:rsidP="00C84DFC">
      <w:pPr>
        <w:pStyle w:val="BodyText"/>
        <w:spacing w:before="240"/>
        <w:ind w:firstLine="0"/>
        <w:rPr>
          <w:b/>
        </w:rPr>
      </w:pPr>
      <w:r w:rsidRPr="007D75FE">
        <w:rPr>
          <w:b/>
        </w:rPr>
        <w:t>Radiological Conditions:</w:t>
      </w:r>
    </w:p>
    <w:p w:rsidR="00037304" w:rsidRDefault="00037304" w:rsidP="00023509">
      <w:pPr>
        <w:pStyle w:val="BodyText"/>
        <w:tabs>
          <w:tab w:val="left" w:pos="7526"/>
        </w:tabs>
        <w:ind w:firstLine="0"/>
      </w:pPr>
      <w:r>
        <w:t xml:space="preserve">Vary as a function of the materials being handled.    </w:t>
      </w:r>
      <w:r w:rsidR="00023509">
        <w:tab/>
      </w:r>
    </w:p>
    <w:p w:rsidR="00037304" w:rsidRPr="00077CBE" w:rsidRDefault="00037304" w:rsidP="00C84DFC">
      <w:pPr>
        <w:pStyle w:val="BodyText"/>
        <w:spacing w:before="240"/>
        <w:ind w:firstLine="0"/>
        <w:rPr>
          <w:b/>
        </w:rPr>
      </w:pPr>
      <w:r w:rsidRPr="00077CBE">
        <w:rPr>
          <w:b/>
        </w:rPr>
        <w:t>Requirements</w:t>
      </w:r>
      <w:r>
        <w:rPr>
          <w:b/>
        </w:rPr>
        <w:t>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638"/>
        <w:gridCol w:w="1890"/>
        <w:gridCol w:w="94"/>
        <w:gridCol w:w="626"/>
        <w:gridCol w:w="1359"/>
        <w:gridCol w:w="90"/>
        <w:gridCol w:w="1894"/>
        <w:gridCol w:w="1985"/>
      </w:tblGrid>
      <w:tr w:rsidR="00037304" w:rsidRPr="009003AB" w:rsidTr="003423F9">
        <w:tc>
          <w:tcPr>
            <w:tcW w:w="1638" w:type="dxa"/>
          </w:tcPr>
          <w:p w:rsidR="00037304" w:rsidRPr="009003AB" w:rsidRDefault="00037304" w:rsidP="003423F9">
            <w:pPr>
              <w:pStyle w:val="Table11"/>
            </w:pPr>
            <w:r w:rsidRPr="009003AB">
              <w:t>Dosimetry Type:</w:t>
            </w:r>
          </w:p>
        </w:tc>
        <w:bookmarkStart w:id="0" w:name="Check9"/>
        <w:tc>
          <w:tcPr>
            <w:tcW w:w="4059" w:type="dxa"/>
            <w:gridSpan w:val="5"/>
          </w:tcPr>
          <w:p w:rsidR="00037304" w:rsidRPr="009003AB" w:rsidRDefault="006B75B7" w:rsidP="003423F9">
            <w:pPr>
              <w:pStyle w:val="Table11"/>
            </w:pPr>
            <w:r w:rsidRPr="009003A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7304" w:rsidRPr="009003AB">
              <w:instrText xml:space="preserve"> FORMCHECKBOX </w:instrText>
            </w:r>
            <w:r w:rsidRPr="009003AB">
              <w:fldChar w:fldCharType="end"/>
            </w:r>
            <w:bookmarkEnd w:id="0"/>
            <w:r w:rsidR="00037304" w:rsidRPr="009003AB">
              <w:t xml:space="preserve"> Whole body beta/gamma dosimeter</w:t>
            </w:r>
          </w:p>
        </w:tc>
        <w:tc>
          <w:tcPr>
            <w:tcW w:w="3879" w:type="dxa"/>
            <w:gridSpan w:val="2"/>
          </w:tcPr>
          <w:p w:rsidR="00037304" w:rsidRPr="009003AB" w:rsidRDefault="006B75B7" w:rsidP="003423F9">
            <w:pPr>
              <w:pStyle w:val="Table11"/>
            </w:pPr>
            <w:r w:rsidRPr="009003AB"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04" w:rsidRPr="009003AB">
              <w:instrText xml:space="preserve"> FORMCHECKBOX </w:instrText>
            </w:r>
            <w:r w:rsidRPr="009003AB">
              <w:fldChar w:fldCharType="end"/>
            </w:r>
            <w:r w:rsidR="00037304" w:rsidRPr="009003AB">
              <w:t xml:space="preserve"> Whole body neutron dosimeter</w:t>
            </w:r>
          </w:p>
        </w:tc>
      </w:tr>
      <w:tr w:rsidR="00037304" w:rsidRPr="009003AB" w:rsidTr="003423F9">
        <w:tc>
          <w:tcPr>
            <w:tcW w:w="1638" w:type="dxa"/>
          </w:tcPr>
          <w:p w:rsidR="00037304" w:rsidRPr="009003AB" w:rsidRDefault="00037304" w:rsidP="003423F9">
            <w:pPr>
              <w:pStyle w:val="Table11"/>
            </w:pPr>
          </w:p>
        </w:tc>
        <w:tc>
          <w:tcPr>
            <w:tcW w:w="1890" w:type="dxa"/>
          </w:tcPr>
          <w:p w:rsidR="00037304" w:rsidRPr="009003AB" w:rsidRDefault="00037304" w:rsidP="003423F9">
            <w:pPr>
              <w:pStyle w:val="Table11"/>
            </w:pPr>
            <w:r w:rsidRPr="009003AB">
              <w:t>Multi-pack type:</w:t>
            </w:r>
          </w:p>
        </w:tc>
        <w:tc>
          <w:tcPr>
            <w:tcW w:w="6048" w:type="dxa"/>
            <w:gridSpan w:val="6"/>
          </w:tcPr>
          <w:p w:rsidR="00037304" w:rsidRPr="009003AB" w:rsidRDefault="006B75B7" w:rsidP="003423F9">
            <w:pPr>
              <w:pStyle w:val="Table11"/>
            </w:pPr>
            <w:r w:rsidRPr="009003AB"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" w:name="Text18"/>
            <w:r w:rsidR="00037304" w:rsidRPr="009003AB">
              <w:instrText xml:space="preserve"> FORMTEXT </w:instrText>
            </w:r>
            <w:r w:rsidRPr="009003AB">
              <w:fldChar w:fldCharType="separate"/>
            </w:r>
            <w:r w:rsidR="00037304" w:rsidRPr="009003AB">
              <w:rPr>
                <w:noProof/>
              </w:rPr>
              <w:t> </w:t>
            </w:r>
            <w:r w:rsidR="00037304" w:rsidRPr="009003AB">
              <w:rPr>
                <w:noProof/>
              </w:rPr>
              <w:t> </w:t>
            </w:r>
            <w:r w:rsidR="00037304" w:rsidRPr="009003AB">
              <w:rPr>
                <w:noProof/>
              </w:rPr>
              <w:t> </w:t>
            </w:r>
            <w:r w:rsidR="00037304" w:rsidRPr="009003AB">
              <w:rPr>
                <w:noProof/>
              </w:rPr>
              <w:t> </w:t>
            </w:r>
            <w:r w:rsidR="00037304" w:rsidRPr="009003AB">
              <w:rPr>
                <w:noProof/>
              </w:rPr>
              <w:t> </w:t>
            </w:r>
            <w:r w:rsidRPr="009003AB">
              <w:fldChar w:fldCharType="end"/>
            </w:r>
            <w:bookmarkEnd w:id="1"/>
          </w:p>
        </w:tc>
      </w:tr>
      <w:tr w:rsidR="00037304" w:rsidRPr="009003AB" w:rsidTr="003423F9">
        <w:tc>
          <w:tcPr>
            <w:tcW w:w="1638" w:type="dxa"/>
          </w:tcPr>
          <w:p w:rsidR="00037304" w:rsidRPr="009003AB" w:rsidRDefault="00037304" w:rsidP="003423F9">
            <w:pPr>
              <w:pStyle w:val="Table11"/>
            </w:pPr>
          </w:p>
        </w:tc>
        <w:tc>
          <w:tcPr>
            <w:tcW w:w="2610" w:type="dxa"/>
            <w:gridSpan w:val="3"/>
          </w:tcPr>
          <w:p w:rsidR="00037304" w:rsidRPr="009003AB" w:rsidRDefault="006B75B7" w:rsidP="003423F9">
            <w:pPr>
              <w:pStyle w:val="Table11"/>
            </w:pPr>
            <w:r w:rsidRPr="009003A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0"/>
            <w:r w:rsidR="00037304" w:rsidRPr="009003AB">
              <w:instrText xml:space="preserve"> FORMCHECKBOX </w:instrText>
            </w:r>
            <w:r w:rsidRPr="009003AB">
              <w:fldChar w:fldCharType="end"/>
            </w:r>
            <w:bookmarkEnd w:id="2"/>
            <w:r w:rsidR="00037304" w:rsidRPr="009003AB">
              <w:t xml:space="preserve"> Electronic dosimeter (ED)</w:t>
            </w:r>
          </w:p>
        </w:tc>
        <w:bookmarkStart w:id="3" w:name="Check11"/>
        <w:tc>
          <w:tcPr>
            <w:tcW w:w="5328" w:type="dxa"/>
            <w:gridSpan w:val="4"/>
          </w:tcPr>
          <w:p w:rsidR="00037304" w:rsidRPr="009003AB" w:rsidRDefault="006B75B7" w:rsidP="003423F9">
            <w:pPr>
              <w:pStyle w:val="Table11"/>
            </w:pPr>
            <w:r>
              <w:fldChar w:fldCharType="begin">
                <w:ffData>
                  <w:name w:val="Check11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7304">
              <w:instrText xml:space="preserve"> FORMCHECKBOX </w:instrText>
            </w:r>
            <w:r>
              <w:fldChar w:fldCharType="end"/>
            </w:r>
            <w:bookmarkEnd w:id="3"/>
            <w:r w:rsidR="00037304" w:rsidRPr="009003AB">
              <w:t xml:space="preserve"> Extremity dosimetry (optional at discretion of performer</w:t>
            </w:r>
          </w:p>
        </w:tc>
      </w:tr>
      <w:tr w:rsidR="00037304" w:rsidRPr="009003AB" w:rsidTr="003423F9">
        <w:tc>
          <w:tcPr>
            <w:tcW w:w="1638" w:type="dxa"/>
          </w:tcPr>
          <w:p w:rsidR="00037304" w:rsidRDefault="00037304" w:rsidP="003423F9">
            <w:pPr>
              <w:pStyle w:val="Table11"/>
            </w:pPr>
          </w:p>
        </w:tc>
        <w:tc>
          <w:tcPr>
            <w:tcW w:w="1984" w:type="dxa"/>
            <w:gridSpan w:val="2"/>
          </w:tcPr>
          <w:p w:rsidR="00037304" w:rsidRPr="009003AB" w:rsidRDefault="006B75B7" w:rsidP="003423F9">
            <w:pPr>
              <w:pStyle w:val="Table11"/>
            </w:pPr>
            <w:r w:rsidRPr="009003AB">
              <w:fldChar w:fldCharType="begin">
                <w:ffData>
                  <w:name w:val="Check9"/>
                  <w:enabled/>
                  <w:calcOnExit w:val="0"/>
                  <w:checkBox>
                    <w:sizeAuto/>
                    <w:default w:val="1"/>
                  </w:checkBox>
                </w:ffData>
              </w:fldChar>
            </w:r>
            <w:r w:rsidR="00037304" w:rsidRPr="009003AB">
              <w:instrText xml:space="preserve"> FORMCHECKBOX </w:instrText>
            </w:r>
            <w:r w:rsidRPr="009003AB">
              <w:fldChar w:fldCharType="end"/>
            </w:r>
            <w:r w:rsidR="00037304" w:rsidRPr="009003AB">
              <w:t xml:space="preserve"> </w:t>
            </w:r>
            <w:r w:rsidR="00037304">
              <w:t>Continuous</w:t>
            </w:r>
          </w:p>
        </w:tc>
        <w:bookmarkStart w:id="4" w:name="Check13"/>
        <w:tc>
          <w:tcPr>
            <w:tcW w:w="1985" w:type="dxa"/>
            <w:gridSpan w:val="2"/>
          </w:tcPr>
          <w:p w:rsidR="00037304" w:rsidRPr="009003AB" w:rsidRDefault="006B75B7" w:rsidP="003423F9">
            <w:pPr>
              <w:pStyle w:val="Table11"/>
            </w:pPr>
            <w:r w:rsidRPr="009003A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04" w:rsidRPr="009003AB">
              <w:instrText xml:space="preserve"> FORMCHECKBOX </w:instrText>
            </w:r>
            <w:r w:rsidRPr="009003AB">
              <w:fldChar w:fldCharType="end"/>
            </w:r>
            <w:bookmarkEnd w:id="4"/>
            <w:r w:rsidR="00037304">
              <w:t xml:space="preserve"> End of work</w:t>
            </w:r>
          </w:p>
        </w:tc>
        <w:bookmarkStart w:id="5" w:name="Check14"/>
        <w:tc>
          <w:tcPr>
            <w:tcW w:w="1984" w:type="dxa"/>
            <w:gridSpan w:val="2"/>
          </w:tcPr>
          <w:p w:rsidR="00037304" w:rsidRPr="009003AB" w:rsidRDefault="006B75B7" w:rsidP="003423F9">
            <w:pPr>
              <w:pStyle w:val="Table11"/>
            </w:pPr>
            <w:r w:rsidRPr="009003A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04" w:rsidRPr="009003AB">
              <w:instrText xml:space="preserve"> FORMCHECKBOX </w:instrText>
            </w:r>
            <w:r w:rsidRPr="009003AB">
              <w:fldChar w:fldCharType="end"/>
            </w:r>
            <w:bookmarkEnd w:id="5"/>
            <w:r w:rsidR="00037304">
              <w:t xml:space="preserve"> At job start</w:t>
            </w:r>
          </w:p>
        </w:tc>
        <w:bookmarkStart w:id="6" w:name="Check15"/>
        <w:tc>
          <w:tcPr>
            <w:tcW w:w="1985" w:type="dxa"/>
          </w:tcPr>
          <w:p w:rsidR="00023509" w:rsidRDefault="006B75B7" w:rsidP="003423F9">
            <w:pPr>
              <w:pStyle w:val="Table11"/>
            </w:pPr>
            <w:r w:rsidRPr="009003AB">
              <w:fldChar w:fldCharType="begin">
                <w:ffData>
                  <w:name w:val="Check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037304" w:rsidRPr="009003AB">
              <w:instrText xml:space="preserve"> FORMCHECKBOX </w:instrText>
            </w:r>
            <w:r w:rsidRPr="009003AB">
              <w:fldChar w:fldCharType="end"/>
            </w:r>
            <w:bookmarkEnd w:id="6"/>
            <w:r w:rsidR="00037304">
              <w:t xml:space="preserve"> Periodic</w:t>
            </w:r>
          </w:p>
          <w:p w:rsidR="00023509" w:rsidRPr="009003AB" w:rsidRDefault="00023509" w:rsidP="003423F9">
            <w:pPr>
              <w:pStyle w:val="Table11"/>
            </w:pPr>
          </w:p>
        </w:tc>
      </w:tr>
      <w:tr w:rsidR="00037304" w:rsidRPr="009003AB" w:rsidTr="003423F9">
        <w:tc>
          <w:tcPr>
            <w:tcW w:w="9576" w:type="dxa"/>
            <w:gridSpan w:val="8"/>
          </w:tcPr>
          <w:p w:rsidR="00037304" w:rsidRDefault="00037304" w:rsidP="00037304">
            <w:pPr>
              <w:pStyle w:val="Table11"/>
              <w:numPr>
                <w:ilvl w:val="0"/>
                <w:numId w:val="10"/>
              </w:numPr>
              <w:spacing w:before="120"/>
            </w:pPr>
            <w:r>
              <w:t>Notifications: TSO or designee shall notify the Lab Lead or CAES Safety Officer prior to handling and movement of rad material.</w:t>
            </w:r>
          </w:p>
          <w:p w:rsidR="00037304" w:rsidRDefault="00037304" w:rsidP="00037304">
            <w:pPr>
              <w:pStyle w:val="Table11"/>
              <w:numPr>
                <w:ilvl w:val="0"/>
                <w:numId w:val="10"/>
              </w:numPr>
              <w:spacing w:before="120"/>
            </w:pPr>
            <w:r>
              <w:t xml:space="preserve">Inventory:  For transfer between labs, make a chain-of-custody entry in the CAES rad inventory database/log prior to movement of rad materials in CAES.    </w:t>
            </w:r>
          </w:p>
          <w:p w:rsidR="00037304" w:rsidRDefault="00037304" w:rsidP="00037304">
            <w:pPr>
              <w:pStyle w:val="Table11"/>
              <w:numPr>
                <w:ilvl w:val="0"/>
                <w:numId w:val="10"/>
              </w:numPr>
            </w:pPr>
            <w:r>
              <w:t>Personnel Safety: TSO or designee ensure all personnel working in area are notified of planned action and that only essential personnel are in the area when rad materials are being handled.</w:t>
            </w:r>
          </w:p>
          <w:p w:rsidR="00037304" w:rsidRDefault="00037304" w:rsidP="00037304">
            <w:pPr>
              <w:pStyle w:val="Table11"/>
              <w:numPr>
                <w:ilvl w:val="0"/>
                <w:numId w:val="10"/>
              </w:numPr>
            </w:pPr>
            <w:r>
              <w:t>Controls:  In conjunction with lab lead and CSO decide what signage and other controls are needed during movement of materials.</w:t>
            </w:r>
          </w:p>
          <w:p w:rsidR="00037304" w:rsidRDefault="00037304" w:rsidP="00037304">
            <w:pPr>
              <w:pStyle w:val="Table11"/>
              <w:numPr>
                <w:ilvl w:val="0"/>
                <w:numId w:val="10"/>
              </w:numPr>
            </w:pPr>
            <w:r>
              <w:t>Personal Protection Equipment:  Always wear Nitrile gloves, lab coat, and safety glasses when handling rad materials.</w:t>
            </w:r>
          </w:p>
          <w:p w:rsidR="00037304" w:rsidRDefault="00023509" w:rsidP="00037304">
            <w:pPr>
              <w:pStyle w:val="Table11"/>
              <w:numPr>
                <w:ilvl w:val="0"/>
                <w:numId w:val="10"/>
              </w:numPr>
            </w:pPr>
            <w:r>
              <w:t xml:space="preserve">Verification:  TSO or designee </w:t>
            </w:r>
            <w:r w:rsidR="00037304">
              <w:t>verif</w:t>
            </w:r>
            <w:r>
              <w:t>ies</w:t>
            </w:r>
            <w:r w:rsidR="00037304">
              <w:t xml:space="preserve"> the material activity levels are consistent with documented/expected levels.</w:t>
            </w:r>
          </w:p>
          <w:p w:rsidR="00037304" w:rsidRDefault="00037304" w:rsidP="00037304">
            <w:pPr>
              <w:pStyle w:val="Table11"/>
              <w:numPr>
                <w:ilvl w:val="0"/>
                <w:numId w:val="10"/>
              </w:numPr>
            </w:pPr>
            <w:r>
              <w:t>Inventory:  Update CAES radiological inventory database at completion of the activity.</w:t>
            </w:r>
          </w:p>
          <w:p w:rsidR="00037304" w:rsidRPr="009003AB" w:rsidRDefault="00037304" w:rsidP="00037304">
            <w:pPr>
              <w:pStyle w:val="Table11"/>
              <w:numPr>
                <w:ilvl w:val="0"/>
                <w:numId w:val="10"/>
              </w:numPr>
            </w:pPr>
            <w:r>
              <w:t>Notifications:  Notify lab lead or CSO at completion of the activity.</w:t>
            </w:r>
          </w:p>
        </w:tc>
      </w:tr>
    </w:tbl>
    <w:p w:rsidR="00037304" w:rsidRDefault="00037304" w:rsidP="00037304">
      <w:pPr>
        <w:pStyle w:val="Spacer"/>
      </w:pPr>
    </w:p>
    <w:p w:rsidR="00037304" w:rsidRPr="00A42DEA" w:rsidRDefault="00037304" w:rsidP="00C84DFC">
      <w:pPr>
        <w:pStyle w:val="BodyText"/>
        <w:ind w:firstLine="0"/>
        <w:rPr>
          <w:b/>
        </w:rPr>
      </w:pPr>
      <w:r w:rsidRPr="00A42DEA">
        <w:rPr>
          <w:b/>
        </w:rPr>
        <w:t>Contamination Control</w:t>
      </w:r>
      <w:r>
        <w:rPr>
          <w:b/>
        </w:rPr>
        <w:t>:</w:t>
      </w:r>
    </w:p>
    <w:p w:rsidR="00037304" w:rsidRDefault="00037304" w:rsidP="00C84DFC">
      <w:pPr>
        <w:pStyle w:val="ListBullet"/>
        <w:numPr>
          <w:ilvl w:val="0"/>
          <w:numId w:val="11"/>
        </w:numPr>
      </w:pPr>
      <w:r>
        <w:t xml:space="preserve">Always check for contamination on the outside of containers upon receipt and before movement or removal of rad materials.  </w:t>
      </w:r>
    </w:p>
    <w:p w:rsidR="00037304" w:rsidRDefault="00037304" w:rsidP="00C84DFC">
      <w:pPr>
        <w:pStyle w:val="ListBullet"/>
        <w:numPr>
          <w:ilvl w:val="0"/>
          <w:numId w:val="11"/>
        </w:numPr>
        <w:spacing w:after="240"/>
      </w:pPr>
      <w:r>
        <w:t>Always change-out and dispose of Nitrile gloves following the handling of potentially contaminated sources.</w:t>
      </w:r>
    </w:p>
    <w:p w:rsidR="00037304" w:rsidRPr="00A42DEA" w:rsidRDefault="00037304" w:rsidP="00C84DFC">
      <w:pPr>
        <w:pStyle w:val="BodyText"/>
        <w:ind w:firstLine="0"/>
        <w:rPr>
          <w:b/>
        </w:rPr>
      </w:pPr>
      <w:r w:rsidRPr="00A42DEA">
        <w:rPr>
          <w:b/>
        </w:rPr>
        <w:t>Survey Requirements</w:t>
      </w:r>
      <w:r>
        <w:rPr>
          <w:b/>
        </w:rPr>
        <w:t>:</w:t>
      </w:r>
    </w:p>
    <w:p w:rsidR="00037304" w:rsidRDefault="00037304" w:rsidP="00C84DFC">
      <w:pPr>
        <w:pStyle w:val="ListBullet"/>
        <w:numPr>
          <w:ilvl w:val="0"/>
          <w:numId w:val="12"/>
        </w:numPr>
      </w:pPr>
      <w:r>
        <w:t>Follow ISU personnel survey requirements for entering and leaving all posted areas.</w:t>
      </w:r>
    </w:p>
    <w:p w:rsidR="00037304" w:rsidRDefault="00037304" w:rsidP="00C84DFC">
      <w:pPr>
        <w:pStyle w:val="ListBullet"/>
        <w:numPr>
          <w:ilvl w:val="0"/>
          <w:numId w:val="12"/>
        </w:numPr>
      </w:pPr>
      <w:r>
        <w:lastRenderedPageBreak/>
        <w:t>Use established ISU procedures for conducting contamination surveys.</w:t>
      </w:r>
    </w:p>
    <w:p w:rsidR="00037304" w:rsidRDefault="00037304" w:rsidP="00C84DFC">
      <w:pPr>
        <w:pStyle w:val="ListBullet"/>
        <w:numPr>
          <w:ilvl w:val="0"/>
          <w:numId w:val="12"/>
        </w:numPr>
      </w:pPr>
      <w:r>
        <w:t>Survey tools used to handle materials after use.</w:t>
      </w:r>
    </w:p>
    <w:p w:rsidR="00037304" w:rsidRDefault="00037304" w:rsidP="00C84DFC">
      <w:pPr>
        <w:pStyle w:val="ListBullet"/>
        <w:numPr>
          <w:ilvl w:val="0"/>
          <w:numId w:val="12"/>
        </w:numPr>
        <w:spacing w:after="240"/>
      </w:pPr>
      <w:r>
        <w:t xml:space="preserve">Perform detailed surveys of equipment following the removal of rad materials. </w:t>
      </w:r>
    </w:p>
    <w:p w:rsidR="00037304" w:rsidRDefault="00037304" w:rsidP="00037304">
      <w:pPr>
        <w:pStyle w:val="H1bodytext"/>
        <w:ind w:left="360"/>
      </w:pPr>
      <w:r>
        <w:t>Detailed surveys will consist of a combination of smears and direct scans as appropriate to verify potentially affected areas are not contaminated.</w:t>
      </w:r>
    </w:p>
    <w:p w:rsidR="00037304" w:rsidRDefault="00037304" w:rsidP="00C84DFC">
      <w:pPr>
        <w:pStyle w:val="BodyText"/>
        <w:keepNext/>
        <w:ind w:firstLine="0"/>
        <w:rPr>
          <w:b/>
        </w:rPr>
      </w:pPr>
      <w:r>
        <w:rPr>
          <w:b/>
        </w:rPr>
        <w:t>Evaluation Points:</w:t>
      </w:r>
    </w:p>
    <w:p w:rsidR="00037304" w:rsidRDefault="00037304" w:rsidP="00C84DFC">
      <w:pPr>
        <w:pStyle w:val="ListBullet"/>
        <w:numPr>
          <w:ilvl w:val="0"/>
          <w:numId w:val="13"/>
        </w:numPr>
      </w:pPr>
      <w:r w:rsidRPr="001D199C">
        <w:t xml:space="preserve">Instruments must be </w:t>
      </w:r>
      <w:r>
        <w:t>surveyed for contamination before and after the handling of rad materials.</w:t>
      </w:r>
    </w:p>
    <w:p w:rsidR="00037304" w:rsidRDefault="00037304" w:rsidP="00C84DFC">
      <w:pPr>
        <w:pStyle w:val="ListBullet"/>
        <w:numPr>
          <w:ilvl w:val="0"/>
          <w:numId w:val="13"/>
        </w:numPr>
        <w:spacing w:after="240"/>
      </w:pPr>
      <w:r>
        <w:t>Frisk when exiting the areas where rad materials are handled.</w:t>
      </w:r>
    </w:p>
    <w:p w:rsidR="00037304" w:rsidRDefault="00037304" w:rsidP="00C84DFC">
      <w:pPr>
        <w:pStyle w:val="BodyText"/>
        <w:spacing w:before="240"/>
        <w:ind w:firstLine="0"/>
        <w:rPr>
          <w:b/>
        </w:rPr>
      </w:pPr>
      <w:r w:rsidRPr="00D5249D">
        <w:rPr>
          <w:b/>
        </w:rPr>
        <w:t>Limi</w:t>
      </w:r>
      <w:r w:rsidR="00C84DFC">
        <w:rPr>
          <w:b/>
        </w:rPr>
        <w:t>ting Conditions That Void the RS</w:t>
      </w:r>
      <w:r w:rsidRPr="00D5249D">
        <w:rPr>
          <w:b/>
        </w:rPr>
        <w:t>P</w:t>
      </w:r>
      <w:r>
        <w:rPr>
          <w:b/>
        </w:rPr>
        <w:t>:</w:t>
      </w:r>
    </w:p>
    <w:p w:rsidR="00037304" w:rsidRDefault="00037304" w:rsidP="00C84DFC">
      <w:pPr>
        <w:pStyle w:val="ListBullet"/>
        <w:numPr>
          <w:ilvl w:val="0"/>
          <w:numId w:val="14"/>
        </w:numPr>
        <w:spacing w:after="240"/>
      </w:pPr>
      <w:r>
        <w:t xml:space="preserve">Materials delivered to CAES:  If the measured activity levels of materials are not consistent with the types and levels specified in the shipping manifest, the materials should be immediately secured and the RSO notified.  </w:t>
      </w:r>
    </w:p>
    <w:p w:rsidR="00037304" w:rsidRDefault="00037304" w:rsidP="00C84DFC">
      <w:pPr>
        <w:pStyle w:val="ListBullet"/>
        <w:numPr>
          <w:ilvl w:val="0"/>
          <w:numId w:val="14"/>
        </w:numPr>
        <w:spacing w:after="240"/>
      </w:pPr>
      <w:r>
        <w:t xml:space="preserve">Materials identified for transfer or removal:  If the observed activity levels of materials are not consistent with the types and levels specified in the CAES Inventory database, the materials should be immediately secured and the RSO notified.  </w:t>
      </w:r>
    </w:p>
    <w:p w:rsidR="00037304" w:rsidRPr="00D5249D" w:rsidRDefault="00037304" w:rsidP="00C84DFC">
      <w:pPr>
        <w:pStyle w:val="ListBullet"/>
        <w:numPr>
          <w:ilvl w:val="0"/>
          <w:numId w:val="14"/>
        </w:numPr>
      </w:pPr>
      <w:proofErr w:type="spellStart"/>
      <w:r>
        <w:t>Smearable</w:t>
      </w:r>
      <w:proofErr w:type="spellEnd"/>
      <w:r>
        <w:t xml:space="preserve"> contamination &gt; </w:t>
      </w:r>
      <w:r w:rsidR="00C84DFC">
        <w:t>70 dpm/100cm</w:t>
      </w:r>
      <w:r w:rsidR="00C84DFC" w:rsidRPr="00C84DFC">
        <w:rPr>
          <w:vertAlign w:val="superscript"/>
        </w:rPr>
        <w:t xml:space="preserve">2 </w:t>
      </w:r>
      <w:r w:rsidR="00C84DFC">
        <w:t xml:space="preserve"> beta/gamma and/or 7 dpm/100cm</w:t>
      </w:r>
      <w:r w:rsidR="00C84DFC" w:rsidRPr="00C84DFC">
        <w:rPr>
          <w:vertAlign w:val="superscript"/>
        </w:rPr>
        <w:t>2</w:t>
      </w:r>
      <w:r w:rsidR="00C84DFC">
        <w:rPr>
          <w:vertAlign w:val="superscript"/>
        </w:rPr>
        <w:t xml:space="preserve"> </w:t>
      </w:r>
      <w:r w:rsidR="00630247">
        <w:t xml:space="preserve">alpha </w:t>
      </w:r>
      <w:r>
        <w:t>is measured after initial attempts to remove contamination from contamination area or equipment.</w:t>
      </w:r>
    </w:p>
    <w:p w:rsidR="00037304" w:rsidRDefault="00037304" w:rsidP="00C84DFC">
      <w:pPr>
        <w:pStyle w:val="ListBullet"/>
        <w:numPr>
          <w:ilvl w:val="0"/>
          <w:numId w:val="14"/>
        </w:numPr>
      </w:pPr>
      <w:r>
        <w:t xml:space="preserve">Radiation levels &gt;  </w:t>
      </w:r>
      <w:r w:rsidR="00630247">
        <w:t>70 mR/hr at 30 cm.</w:t>
      </w:r>
    </w:p>
    <w:p w:rsidR="00037304" w:rsidRDefault="00037304" w:rsidP="00C84DFC">
      <w:pPr>
        <w:pStyle w:val="ListBullet"/>
        <w:numPr>
          <w:ilvl w:val="0"/>
          <w:numId w:val="14"/>
        </w:numPr>
      </w:pPr>
      <w:r>
        <w:t>Personnel frisk identifies contaminat</w:t>
      </w:r>
      <w:r w:rsidR="006E49D3">
        <w:t xml:space="preserve">ion </w:t>
      </w:r>
      <w:r>
        <w:t>when exiting the work area.</w:t>
      </w:r>
    </w:p>
    <w:p w:rsidR="00037304" w:rsidRPr="00A631E2" w:rsidRDefault="00037304" w:rsidP="00023509">
      <w:pPr>
        <w:pStyle w:val="ListBullet"/>
        <w:rPr>
          <w:b/>
        </w:rPr>
      </w:pPr>
      <w:r w:rsidRPr="00A631E2">
        <w:rPr>
          <w:b/>
        </w:rPr>
        <w:t>If any of these conditions are met, Stop Work, place materials in sa</w:t>
      </w:r>
      <w:r w:rsidR="00023509">
        <w:rPr>
          <w:b/>
        </w:rPr>
        <w:t xml:space="preserve">fe condition, cease use of this </w:t>
      </w:r>
      <w:r w:rsidRPr="00A631E2">
        <w:rPr>
          <w:b/>
        </w:rPr>
        <w:t>RWP as written and notify the Radiation Safety Officer, Lab Lead and CSO.</w:t>
      </w:r>
    </w:p>
    <w:p w:rsidR="00037304" w:rsidRPr="00BF7735" w:rsidRDefault="00037304" w:rsidP="00C84DFC">
      <w:pPr>
        <w:pStyle w:val="BodyText"/>
        <w:spacing w:before="240"/>
        <w:ind w:firstLine="0"/>
        <w:rPr>
          <w:b/>
        </w:rPr>
      </w:pPr>
      <w:r w:rsidRPr="00BF7735">
        <w:rPr>
          <w:b/>
        </w:rPr>
        <w:t>Best Practice</w:t>
      </w:r>
      <w:r>
        <w:rPr>
          <w:b/>
        </w:rPr>
        <w:t>s:</w:t>
      </w:r>
    </w:p>
    <w:p w:rsidR="00037304" w:rsidRDefault="00037304" w:rsidP="00C84DFC">
      <w:pPr>
        <w:pStyle w:val="ListBullet"/>
        <w:numPr>
          <w:ilvl w:val="0"/>
          <w:numId w:val="15"/>
        </w:numPr>
      </w:pPr>
      <w:r>
        <w:t>Follow good ALARA Practices when handling radiological sources:</w:t>
      </w:r>
    </w:p>
    <w:p w:rsidR="00037304" w:rsidRDefault="00037304" w:rsidP="00C84DFC">
      <w:pPr>
        <w:pStyle w:val="ListBullet"/>
        <w:numPr>
          <w:ilvl w:val="0"/>
          <w:numId w:val="15"/>
        </w:numPr>
      </w:pPr>
      <w:r>
        <w:t>Minimize time in which radioactive sources are exposed.</w:t>
      </w:r>
    </w:p>
    <w:p w:rsidR="00037304" w:rsidRDefault="00037304" w:rsidP="00C84DFC">
      <w:pPr>
        <w:pStyle w:val="ListBullet"/>
        <w:numPr>
          <w:ilvl w:val="0"/>
          <w:numId w:val="15"/>
        </w:numPr>
      </w:pPr>
      <w:r>
        <w:t>Use tongs and similar long-handled tools to handle materials and increase distance to source.</w:t>
      </w:r>
    </w:p>
    <w:p w:rsidR="00037304" w:rsidRDefault="00037304" w:rsidP="00C84DFC">
      <w:pPr>
        <w:pStyle w:val="ListBullet"/>
        <w:numPr>
          <w:ilvl w:val="0"/>
          <w:numId w:val="15"/>
        </w:numPr>
      </w:pPr>
      <w:r>
        <w:t>Set up portable shielding as appropriate to minimize field during materials handling.</w:t>
      </w:r>
    </w:p>
    <w:p w:rsidR="00037304" w:rsidRDefault="00037304" w:rsidP="00C84DFC">
      <w:pPr>
        <w:pStyle w:val="ListBullet"/>
        <w:numPr>
          <w:ilvl w:val="0"/>
          <w:numId w:val="15"/>
        </w:numPr>
        <w:spacing w:after="240"/>
      </w:pPr>
      <w:r>
        <w:t>Perform surveys of work areas.</w:t>
      </w:r>
    </w:p>
    <w:p w:rsidR="00DB2EFF" w:rsidRDefault="00DB2EFF" w:rsidP="00C418D1">
      <w:pPr>
        <w:rPr>
          <w:b/>
        </w:rPr>
      </w:pPr>
    </w:p>
    <w:p w:rsidR="007F0628" w:rsidRDefault="007F0628" w:rsidP="00C418D1">
      <w:pPr>
        <w:rPr>
          <w:b/>
        </w:rPr>
      </w:pPr>
    </w:p>
    <w:p w:rsidR="007F0628" w:rsidRDefault="007F0628" w:rsidP="00C418D1">
      <w:pPr>
        <w:rPr>
          <w:b/>
        </w:rPr>
      </w:pPr>
    </w:p>
    <w:p w:rsidR="007F0628" w:rsidRDefault="007F0628" w:rsidP="00C418D1">
      <w:pPr>
        <w:rPr>
          <w:b/>
        </w:rPr>
      </w:pPr>
    </w:p>
    <w:p w:rsidR="00C418D1" w:rsidRPr="00C418D1" w:rsidRDefault="00745CFE" w:rsidP="00C418D1">
      <w:r w:rsidRPr="00745CFE">
        <w:drawing>
          <wp:inline distT="0" distB="0" distL="0" distR="0">
            <wp:extent cx="5943600" cy="2794547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 l="5432" t="20128" r="2368" b="1048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794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C418D1" w:rsidRPr="00C418D1" w:rsidSect="00CE2EE1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4FD5" w:rsidRDefault="000A4FD5" w:rsidP="004D40BC">
      <w:pPr>
        <w:spacing w:after="0" w:line="240" w:lineRule="auto"/>
      </w:pPr>
      <w:r>
        <w:separator/>
      </w:r>
    </w:p>
  </w:endnote>
  <w:endnote w:type="continuationSeparator" w:id="0">
    <w:p w:rsidR="000A4FD5" w:rsidRDefault="000A4FD5" w:rsidP="004D40B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4FD5" w:rsidRDefault="000A4FD5" w:rsidP="004D40BC">
      <w:pPr>
        <w:spacing w:after="0" w:line="240" w:lineRule="auto"/>
      </w:pPr>
      <w:r>
        <w:separator/>
      </w:r>
    </w:p>
  </w:footnote>
  <w:footnote w:type="continuationSeparator" w:id="0">
    <w:p w:rsidR="000A4FD5" w:rsidRDefault="000A4FD5" w:rsidP="004D40B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1970" w:type="dxa"/>
      <w:jc w:val="center"/>
      <w:tblInd w:w="14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CellMar>
        <w:left w:w="57" w:type="dxa"/>
        <w:right w:w="57" w:type="dxa"/>
      </w:tblCellMar>
      <w:tblLook w:val="0000"/>
    </w:tblPr>
    <w:tblGrid>
      <w:gridCol w:w="1080"/>
      <w:gridCol w:w="900"/>
      <w:gridCol w:w="4320"/>
      <w:gridCol w:w="1530"/>
      <w:gridCol w:w="1440"/>
      <w:gridCol w:w="630"/>
      <w:gridCol w:w="1710"/>
      <w:gridCol w:w="360"/>
    </w:tblGrid>
    <w:tr w:rsidR="004D40BC" w:rsidRPr="00073C7C" w:rsidTr="00C56857">
      <w:trPr>
        <w:cantSplit/>
        <w:jc w:val="center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:rsidR="004D40BC" w:rsidRPr="001B2767" w:rsidRDefault="004D40BC" w:rsidP="00C56857">
          <w:pPr>
            <w:pStyle w:val="header--10ptTNRItalic"/>
            <w:rPr>
              <w:b/>
              <w:i w:val="0"/>
            </w:rPr>
          </w:pPr>
        </w:p>
      </w:tc>
      <w:tc>
        <w:tcPr>
          <w:tcW w:w="522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D40BC" w:rsidRPr="001B2767" w:rsidRDefault="004D40BC" w:rsidP="00C56857">
          <w:pPr>
            <w:pStyle w:val="header--10ptTNRItalic"/>
            <w:rPr>
              <w:b/>
              <w:i w:val="0"/>
            </w:rPr>
          </w:pPr>
        </w:p>
      </w:tc>
      <w:tc>
        <w:tcPr>
          <w:tcW w:w="1530" w:type="dxa"/>
          <w:tcBorders>
            <w:top w:val="nil"/>
            <w:left w:val="nil"/>
            <w:bottom w:val="nil"/>
            <w:right w:val="nil"/>
          </w:tcBorders>
        </w:tcPr>
        <w:p w:rsidR="004D40BC" w:rsidRPr="001B2767" w:rsidRDefault="004D40BC" w:rsidP="00C56857">
          <w:pPr>
            <w:pStyle w:val="header--10ptTNRItalic"/>
            <w:rPr>
              <w:b/>
              <w:i w:val="0"/>
            </w:rPr>
          </w:pP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  <w:vAlign w:val="bottom"/>
        </w:tcPr>
        <w:p w:rsidR="004D40BC" w:rsidRDefault="004D40BC" w:rsidP="00C56857">
          <w:pPr>
            <w:pStyle w:val="header--10ptTNRItalic"/>
          </w:pP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D40BC" w:rsidRDefault="00B55942" w:rsidP="00C56857">
          <w:pPr>
            <w:pStyle w:val="header--8ptTNR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RSP</w:t>
          </w:r>
          <w:r w:rsidR="00023509">
            <w:rPr>
              <w:sz w:val="12"/>
              <w:szCs w:val="12"/>
            </w:rPr>
            <w:t>-004</w:t>
          </w:r>
          <w:r>
            <w:rPr>
              <w:sz w:val="12"/>
              <w:szCs w:val="12"/>
            </w:rPr>
            <w:t xml:space="preserve"> </w:t>
          </w:r>
        </w:p>
        <w:p w:rsidR="004D40BC" w:rsidRDefault="004D40BC" w:rsidP="00C56857">
          <w:pPr>
            <w:pStyle w:val="header--8ptTNR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R</w:t>
          </w:r>
          <w:r w:rsidR="00DB2EFF">
            <w:rPr>
              <w:sz w:val="12"/>
              <w:szCs w:val="12"/>
            </w:rPr>
            <w:t>adiological Safety Protocol</w:t>
          </w:r>
          <w:r>
            <w:rPr>
              <w:sz w:val="12"/>
              <w:szCs w:val="12"/>
            </w:rPr>
            <w:t xml:space="preserve"> (Rev </w:t>
          </w:r>
          <w:r w:rsidR="00DB2EFF">
            <w:rPr>
              <w:sz w:val="12"/>
              <w:szCs w:val="12"/>
            </w:rPr>
            <w:t>1</w:t>
          </w:r>
          <w:r>
            <w:rPr>
              <w:sz w:val="12"/>
              <w:szCs w:val="12"/>
            </w:rPr>
            <w:t>)</w:t>
          </w:r>
        </w:p>
        <w:p w:rsidR="004D40BC" w:rsidRPr="00073C7C" w:rsidRDefault="00DB2EFF" w:rsidP="00C56857">
          <w:pPr>
            <w:pStyle w:val="header--8ptTNR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Effective Date: 5/3</w:t>
          </w:r>
          <w:r w:rsidR="004D40BC">
            <w:rPr>
              <w:sz w:val="12"/>
              <w:szCs w:val="12"/>
            </w:rPr>
            <w:t>1/2011</w:t>
          </w:r>
        </w:p>
      </w:tc>
    </w:tr>
    <w:tr w:rsidR="004D40BC" w:rsidRPr="00073C7C" w:rsidTr="00C56857">
      <w:trPr>
        <w:cantSplit/>
        <w:jc w:val="center"/>
      </w:trPr>
      <w:tc>
        <w:tcPr>
          <w:tcW w:w="1080" w:type="dxa"/>
          <w:tcBorders>
            <w:top w:val="nil"/>
            <w:left w:val="nil"/>
            <w:bottom w:val="nil"/>
            <w:right w:val="nil"/>
          </w:tcBorders>
        </w:tcPr>
        <w:p w:rsidR="004D40BC" w:rsidRPr="001B2767" w:rsidRDefault="004D40BC" w:rsidP="00C56857">
          <w:pPr>
            <w:pStyle w:val="header--10ptTNRItalic"/>
            <w:rPr>
              <w:b/>
              <w:i w:val="0"/>
            </w:rPr>
          </w:pPr>
        </w:p>
      </w:tc>
      <w:tc>
        <w:tcPr>
          <w:tcW w:w="522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</w:tcPr>
        <w:p w:rsidR="004D40BC" w:rsidRPr="001B2767" w:rsidRDefault="004D40BC" w:rsidP="00DB2EFF">
          <w:pPr>
            <w:pStyle w:val="header--10ptTNRItalic"/>
            <w:ind w:right="-1002"/>
            <w:rPr>
              <w:b/>
              <w:i w:val="0"/>
            </w:rPr>
          </w:pPr>
          <w:r>
            <w:rPr>
              <w:b/>
              <w:i w:val="0"/>
            </w:rPr>
            <w:t>Ce</w:t>
          </w:r>
          <w:r w:rsidR="00DB2EFF">
            <w:rPr>
              <w:b/>
              <w:i w:val="0"/>
            </w:rPr>
            <w:t>nter for Advanced Energy : Radiological Safety Protocol</w:t>
          </w:r>
        </w:p>
      </w:tc>
      <w:tc>
        <w:tcPr>
          <w:tcW w:w="1530" w:type="dxa"/>
          <w:tcBorders>
            <w:top w:val="nil"/>
            <w:left w:val="nil"/>
            <w:bottom w:val="single" w:sz="4" w:space="0" w:color="auto"/>
            <w:right w:val="nil"/>
          </w:tcBorders>
        </w:tcPr>
        <w:p w:rsidR="004D40BC" w:rsidRPr="001B2767" w:rsidRDefault="004D40BC" w:rsidP="00C56857">
          <w:pPr>
            <w:pStyle w:val="header--10ptTNRItalic"/>
            <w:rPr>
              <w:b/>
              <w:i w:val="0"/>
            </w:rPr>
          </w:pPr>
        </w:p>
      </w:tc>
      <w:tc>
        <w:tcPr>
          <w:tcW w:w="2070" w:type="dxa"/>
          <w:gridSpan w:val="2"/>
          <w:tcBorders>
            <w:top w:val="nil"/>
            <w:left w:val="nil"/>
            <w:bottom w:val="single" w:sz="4" w:space="0" w:color="auto"/>
            <w:right w:val="nil"/>
          </w:tcBorders>
          <w:vAlign w:val="bottom"/>
        </w:tcPr>
        <w:p w:rsidR="004D40BC" w:rsidRDefault="004D40BC" w:rsidP="00C56857">
          <w:pPr>
            <w:pStyle w:val="header--10ptTNRItalic"/>
          </w:pPr>
        </w:p>
      </w:tc>
      <w:tc>
        <w:tcPr>
          <w:tcW w:w="2070" w:type="dxa"/>
          <w:gridSpan w:val="2"/>
          <w:tcBorders>
            <w:top w:val="nil"/>
            <w:left w:val="nil"/>
            <w:bottom w:val="nil"/>
            <w:right w:val="nil"/>
          </w:tcBorders>
        </w:tcPr>
        <w:p w:rsidR="004D40BC" w:rsidRPr="00073C7C" w:rsidRDefault="004D40BC" w:rsidP="00C56857">
          <w:pPr>
            <w:pStyle w:val="header--8ptTNR"/>
            <w:jc w:val="right"/>
            <w:rPr>
              <w:sz w:val="12"/>
              <w:szCs w:val="12"/>
            </w:rPr>
          </w:pPr>
        </w:p>
      </w:tc>
    </w:tr>
    <w:tr w:rsidR="004D40BC" w:rsidTr="00C56857">
      <w:trPr>
        <w:gridAfter w:val="1"/>
        <w:wAfter w:w="360" w:type="dxa"/>
        <w:cantSplit/>
        <w:trHeight w:val="278"/>
        <w:jc w:val="center"/>
      </w:trPr>
      <w:tc>
        <w:tcPr>
          <w:tcW w:w="1080" w:type="dxa"/>
          <w:tcBorders>
            <w:top w:val="nil"/>
            <w:left w:val="nil"/>
            <w:bottom w:val="nil"/>
          </w:tcBorders>
        </w:tcPr>
        <w:p w:rsidR="004D40BC" w:rsidRDefault="004D40BC" w:rsidP="00C56857">
          <w:pPr>
            <w:pStyle w:val="header--12ptTNRBcenter"/>
            <w:rPr>
              <w:szCs w:val="22"/>
            </w:rPr>
          </w:pPr>
        </w:p>
      </w:tc>
      <w:tc>
        <w:tcPr>
          <w:tcW w:w="900" w:type="dxa"/>
          <w:vMerge w:val="restart"/>
          <w:tcBorders>
            <w:top w:val="single" w:sz="4" w:space="0" w:color="auto"/>
            <w:right w:val="nil"/>
          </w:tcBorders>
        </w:tcPr>
        <w:p w:rsidR="004D40BC" w:rsidRDefault="004D40BC" w:rsidP="00C56857">
          <w:pPr>
            <w:pStyle w:val="header--12ptTNRBcenter"/>
            <w:jc w:val="left"/>
            <w:rPr>
              <w:noProof/>
              <w:sz w:val="12"/>
              <w:szCs w:val="12"/>
            </w:rPr>
          </w:pPr>
          <w:r>
            <w:rPr>
              <w:noProof/>
              <w:sz w:val="12"/>
              <w:szCs w:val="12"/>
            </w:rPr>
            <w:drawing>
              <wp:inline distT="0" distB="0" distL="0" distR="0">
                <wp:extent cx="499745" cy="499745"/>
                <wp:effectExtent l="19050" t="0" r="0" b="0"/>
                <wp:docPr id="1" name="Picture 1" descr="caes-LOGO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aes-LOGO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99745" cy="4997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320" w:type="dxa"/>
          <w:vMerge w:val="restart"/>
          <w:tcBorders>
            <w:top w:val="single" w:sz="4" w:space="0" w:color="auto"/>
            <w:left w:val="nil"/>
          </w:tcBorders>
          <w:vAlign w:val="center"/>
        </w:tcPr>
        <w:p w:rsidR="004D40BC" w:rsidRPr="00500035" w:rsidRDefault="00C84DFC" w:rsidP="00B55942">
          <w:pPr>
            <w:pStyle w:val="header--12ptTNRBcenter"/>
            <w:rPr>
              <w:szCs w:val="24"/>
            </w:rPr>
          </w:pPr>
          <w:r>
            <w:rPr>
              <w:szCs w:val="24"/>
            </w:rPr>
            <w:t>CAES Protocol for delivery, movement or removal of radiological materials from caes</w:t>
          </w:r>
          <w:r w:rsidR="00B55942">
            <w:rPr>
              <w:szCs w:val="24"/>
            </w:rPr>
            <w:t xml:space="preserve"> </w:t>
          </w:r>
        </w:p>
      </w:tc>
      <w:tc>
        <w:tcPr>
          <w:tcW w:w="1530" w:type="dxa"/>
          <w:vMerge w:val="restart"/>
          <w:tcBorders>
            <w:top w:val="single" w:sz="4" w:space="0" w:color="auto"/>
            <w:right w:val="single" w:sz="6" w:space="0" w:color="FFFFFF"/>
          </w:tcBorders>
        </w:tcPr>
        <w:p w:rsidR="004D40BC" w:rsidRDefault="004D40BC" w:rsidP="00C56857">
          <w:pPr>
            <w:pStyle w:val="header--12ptTNR"/>
            <w:spacing w:after="40"/>
            <w:rPr>
              <w:sz w:val="22"/>
              <w:szCs w:val="22"/>
            </w:rPr>
          </w:pPr>
          <w:r>
            <w:rPr>
              <w:sz w:val="22"/>
              <w:szCs w:val="22"/>
            </w:rPr>
            <w:t>Identifier:</w:t>
          </w:r>
        </w:p>
        <w:p w:rsidR="004D40BC" w:rsidRDefault="004D40BC" w:rsidP="00C56857">
          <w:pPr>
            <w:pStyle w:val="header--12ptTNR"/>
            <w:spacing w:after="40"/>
            <w:rPr>
              <w:sz w:val="22"/>
              <w:szCs w:val="22"/>
            </w:rPr>
          </w:pPr>
          <w:r>
            <w:rPr>
              <w:sz w:val="22"/>
              <w:szCs w:val="22"/>
            </w:rPr>
            <w:t>Revision:</w:t>
          </w:r>
        </w:p>
        <w:p w:rsidR="004D40BC" w:rsidRDefault="004D40BC" w:rsidP="00C56857">
          <w:pPr>
            <w:pStyle w:val="header--12ptTNR"/>
            <w:rPr>
              <w:sz w:val="22"/>
              <w:szCs w:val="22"/>
            </w:rPr>
          </w:pPr>
          <w:r>
            <w:rPr>
              <w:sz w:val="22"/>
              <w:szCs w:val="22"/>
            </w:rPr>
            <w:t>Date:</w:t>
          </w:r>
        </w:p>
      </w:tc>
      <w:tc>
        <w:tcPr>
          <w:tcW w:w="3780" w:type="dxa"/>
          <w:gridSpan w:val="3"/>
          <w:tcBorders>
            <w:top w:val="single" w:sz="4" w:space="0" w:color="auto"/>
            <w:left w:val="single" w:sz="6" w:space="0" w:color="FFFFFF"/>
            <w:bottom w:val="nil"/>
          </w:tcBorders>
        </w:tcPr>
        <w:p w:rsidR="004D40BC" w:rsidRDefault="00B55942" w:rsidP="00C56857">
          <w:pPr>
            <w:pStyle w:val="header--12ptTNR"/>
            <w:rPr>
              <w:bCs/>
              <w:sz w:val="22"/>
              <w:szCs w:val="22"/>
            </w:rPr>
          </w:pPr>
          <w:r>
            <w:rPr>
              <w:bCs/>
              <w:sz w:val="22"/>
              <w:szCs w:val="22"/>
            </w:rPr>
            <w:t>RSP –</w:t>
          </w:r>
          <w:r w:rsidR="00023509">
            <w:rPr>
              <w:bCs/>
              <w:sz w:val="22"/>
              <w:szCs w:val="22"/>
            </w:rPr>
            <w:t>004</w:t>
          </w:r>
          <w:r>
            <w:rPr>
              <w:bCs/>
              <w:sz w:val="22"/>
              <w:szCs w:val="22"/>
            </w:rPr>
            <w:t xml:space="preserve"> </w:t>
          </w:r>
        </w:p>
      </w:tc>
    </w:tr>
    <w:tr w:rsidR="004D40BC" w:rsidTr="00C56857">
      <w:trPr>
        <w:gridAfter w:val="1"/>
        <w:wAfter w:w="360" w:type="dxa"/>
        <w:cantSplit/>
        <w:trHeight w:val="277"/>
        <w:jc w:val="center"/>
      </w:trPr>
      <w:tc>
        <w:tcPr>
          <w:tcW w:w="1080" w:type="dxa"/>
          <w:tcBorders>
            <w:top w:val="nil"/>
            <w:left w:val="nil"/>
            <w:bottom w:val="nil"/>
          </w:tcBorders>
        </w:tcPr>
        <w:p w:rsidR="004D40BC" w:rsidRDefault="004D40BC" w:rsidP="00C56857">
          <w:pPr>
            <w:pStyle w:val="header--12ptTNRBcenter"/>
            <w:rPr>
              <w:szCs w:val="22"/>
            </w:rPr>
          </w:pPr>
        </w:p>
      </w:tc>
      <w:tc>
        <w:tcPr>
          <w:tcW w:w="900" w:type="dxa"/>
          <w:vMerge/>
          <w:tcBorders>
            <w:right w:val="nil"/>
          </w:tcBorders>
          <w:vAlign w:val="center"/>
        </w:tcPr>
        <w:p w:rsidR="004D40BC" w:rsidRDefault="004D40BC" w:rsidP="00C56857">
          <w:pPr>
            <w:pStyle w:val="header--12ptTNRBcenter"/>
            <w:rPr>
              <w:szCs w:val="22"/>
            </w:rPr>
          </w:pPr>
        </w:p>
      </w:tc>
      <w:tc>
        <w:tcPr>
          <w:tcW w:w="4320" w:type="dxa"/>
          <w:vMerge/>
          <w:tcBorders>
            <w:left w:val="nil"/>
          </w:tcBorders>
          <w:vAlign w:val="center"/>
        </w:tcPr>
        <w:p w:rsidR="004D40BC" w:rsidRDefault="004D40BC" w:rsidP="00C56857">
          <w:pPr>
            <w:pStyle w:val="header--12ptTNRBcenter"/>
            <w:rPr>
              <w:szCs w:val="22"/>
            </w:rPr>
          </w:pPr>
        </w:p>
      </w:tc>
      <w:tc>
        <w:tcPr>
          <w:tcW w:w="1530" w:type="dxa"/>
          <w:vMerge/>
          <w:tcBorders>
            <w:right w:val="single" w:sz="6" w:space="0" w:color="FFFFFF"/>
          </w:tcBorders>
        </w:tcPr>
        <w:p w:rsidR="004D40BC" w:rsidRDefault="004D40BC" w:rsidP="00C56857">
          <w:pPr>
            <w:pStyle w:val="header--12ptTNRBcenter"/>
            <w:rPr>
              <w:sz w:val="22"/>
              <w:szCs w:val="22"/>
            </w:rPr>
          </w:pPr>
        </w:p>
      </w:tc>
      <w:tc>
        <w:tcPr>
          <w:tcW w:w="3780" w:type="dxa"/>
          <w:gridSpan w:val="3"/>
          <w:tcBorders>
            <w:top w:val="nil"/>
            <w:left w:val="single" w:sz="6" w:space="0" w:color="FFFFFF"/>
            <w:bottom w:val="nil"/>
          </w:tcBorders>
        </w:tcPr>
        <w:p w:rsidR="004D40BC" w:rsidRDefault="00DB2EFF" w:rsidP="00C56857">
          <w:pPr>
            <w:pStyle w:val="header--12ptTNR"/>
            <w:rPr>
              <w:sz w:val="22"/>
              <w:szCs w:val="22"/>
            </w:rPr>
          </w:pPr>
          <w:r>
            <w:rPr>
              <w:sz w:val="22"/>
              <w:szCs w:val="22"/>
            </w:rPr>
            <w:t>1</w:t>
          </w:r>
        </w:p>
      </w:tc>
    </w:tr>
    <w:tr w:rsidR="004D40BC" w:rsidTr="00C56857">
      <w:trPr>
        <w:gridAfter w:val="1"/>
        <w:wAfter w:w="360" w:type="dxa"/>
        <w:cantSplit/>
        <w:trHeight w:val="277"/>
        <w:jc w:val="center"/>
      </w:trPr>
      <w:tc>
        <w:tcPr>
          <w:tcW w:w="1080" w:type="dxa"/>
          <w:tcBorders>
            <w:top w:val="nil"/>
            <w:left w:val="nil"/>
            <w:bottom w:val="nil"/>
          </w:tcBorders>
        </w:tcPr>
        <w:p w:rsidR="004D40BC" w:rsidRDefault="004D40BC" w:rsidP="00C56857">
          <w:pPr>
            <w:pStyle w:val="header--12ptTNRBcenter"/>
            <w:rPr>
              <w:szCs w:val="22"/>
            </w:rPr>
          </w:pPr>
        </w:p>
      </w:tc>
      <w:tc>
        <w:tcPr>
          <w:tcW w:w="900" w:type="dxa"/>
          <w:vMerge/>
          <w:tcBorders>
            <w:right w:val="nil"/>
          </w:tcBorders>
          <w:vAlign w:val="center"/>
        </w:tcPr>
        <w:p w:rsidR="004D40BC" w:rsidRDefault="004D40BC" w:rsidP="00C56857">
          <w:pPr>
            <w:pStyle w:val="header--12ptTNRBcenter"/>
            <w:rPr>
              <w:szCs w:val="22"/>
            </w:rPr>
          </w:pPr>
        </w:p>
      </w:tc>
      <w:tc>
        <w:tcPr>
          <w:tcW w:w="4320" w:type="dxa"/>
          <w:vMerge/>
          <w:tcBorders>
            <w:left w:val="nil"/>
          </w:tcBorders>
          <w:vAlign w:val="center"/>
        </w:tcPr>
        <w:p w:rsidR="004D40BC" w:rsidRDefault="004D40BC" w:rsidP="00C56857">
          <w:pPr>
            <w:pStyle w:val="header--12ptTNRBcenter"/>
            <w:rPr>
              <w:szCs w:val="22"/>
            </w:rPr>
          </w:pPr>
        </w:p>
      </w:tc>
      <w:tc>
        <w:tcPr>
          <w:tcW w:w="1530" w:type="dxa"/>
          <w:vMerge/>
          <w:tcBorders>
            <w:right w:val="single" w:sz="6" w:space="0" w:color="FFFFFF"/>
          </w:tcBorders>
        </w:tcPr>
        <w:p w:rsidR="004D40BC" w:rsidRDefault="004D40BC" w:rsidP="00C56857">
          <w:pPr>
            <w:pStyle w:val="header--12ptTNRBcenter"/>
            <w:rPr>
              <w:sz w:val="22"/>
              <w:szCs w:val="22"/>
            </w:rPr>
          </w:pPr>
        </w:p>
      </w:tc>
      <w:tc>
        <w:tcPr>
          <w:tcW w:w="1440" w:type="dxa"/>
          <w:tcBorders>
            <w:top w:val="nil"/>
            <w:left w:val="single" w:sz="6" w:space="0" w:color="FFFFFF"/>
            <w:right w:val="single" w:sz="6" w:space="0" w:color="FFFFFF"/>
          </w:tcBorders>
        </w:tcPr>
        <w:p w:rsidR="004D40BC" w:rsidRPr="00DA6FBA" w:rsidRDefault="004D40BC" w:rsidP="00C56857">
          <w:pPr>
            <w:pStyle w:val="header--12ptTNR"/>
            <w:rPr>
              <w:b/>
              <w:sz w:val="22"/>
              <w:szCs w:val="22"/>
            </w:rPr>
          </w:pPr>
        </w:p>
      </w:tc>
      <w:tc>
        <w:tcPr>
          <w:tcW w:w="2340" w:type="dxa"/>
          <w:gridSpan w:val="2"/>
          <w:tcBorders>
            <w:top w:val="nil"/>
            <w:left w:val="single" w:sz="6" w:space="0" w:color="FFFFFF"/>
          </w:tcBorders>
        </w:tcPr>
        <w:p w:rsidR="004D40BC" w:rsidRDefault="004D40BC" w:rsidP="00C56857">
          <w:pPr>
            <w:pStyle w:val="header--12ptTNR"/>
            <w:jc w:val="right"/>
            <w:rPr>
              <w:sz w:val="22"/>
              <w:szCs w:val="22"/>
            </w:rPr>
          </w:pPr>
          <w:r w:rsidRPr="003D174E">
            <w:rPr>
              <w:sz w:val="22"/>
              <w:szCs w:val="22"/>
            </w:rPr>
            <w:t xml:space="preserve">Page </w:t>
          </w:r>
          <w:r w:rsidR="006B75B7" w:rsidRPr="003D174E">
            <w:rPr>
              <w:sz w:val="22"/>
              <w:szCs w:val="22"/>
            </w:rPr>
            <w:fldChar w:fldCharType="begin"/>
          </w:r>
          <w:r w:rsidRPr="003D174E">
            <w:rPr>
              <w:sz w:val="22"/>
              <w:szCs w:val="22"/>
            </w:rPr>
            <w:instrText xml:space="preserve"> PAGE </w:instrText>
          </w:r>
          <w:r w:rsidR="006B75B7" w:rsidRPr="003D174E">
            <w:rPr>
              <w:sz w:val="22"/>
              <w:szCs w:val="22"/>
            </w:rPr>
            <w:fldChar w:fldCharType="separate"/>
          </w:r>
          <w:r w:rsidR="00745CFE">
            <w:rPr>
              <w:noProof/>
              <w:sz w:val="22"/>
              <w:szCs w:val="22"/>
            </w:rPr>
            <w:t>3</w:t>
          </w:r>
          <w:r w:rsidR="006B75B7" w:rsidRPr="003D174E">
            <w:rPr>
              <w:sz w:val="22"/>
              <w:szCs w:val="22"/>
            </w:rPr>
            <w:fldChar w:fldCharType="end"/>
          </w:r>
          <w:r w:rsidRPr="003D174E">
            <w:rPr>
              <w:sz w:val="22"/>
              <w:szCs w:val="22"/>
            </w:rPr>
            <w:t xml:space="preserve"> of </w:t>
          </w:r>
          <w:r w:rsidR="006B75B7" w:rsidRPr="003D174E">
            <w:rPr>
              <w:sz w:val="22"/>
              <w:szCs w:val="22"/>
            </w:rPr>
            <w:fldChar w:fldCharType="begin"/>
          </w:r>
          <w:r w:rsidRPr="003D174E">
            <w:rPr>
              <w:sz w:val="22"/>
              <w:szCs w:val="22"/>
            </w:rPr>
            <w:instrText xml:space="preserve"> NUMPAGES </w:instrText>
          </w:r>
          <w:r w:rsidR="006B75B7" w:rsidRPr="003D174E">
            <w:rPr>
              <w:sz w:val="22"/>
              <w:szCs w:val="22"/>
            </w:rPr>
            <w:fldChar w:fldCharType="separate"/>
          </w:r>
          <w:r w:rsidR="00745CFE">
            <w:rPr>
              <w:noProof/>
              <w:sz w:val="22"/>
              <w:szCs w:val="22"/>
            </w:rPr>
            <w:t>3</w:t>
          </w:r>
          <w:r w:rsidR="006B75B7" w:rsidRPr="003D174E">
            <w:rPr>
              <w:sz w:val="22"/>
              <w:szCs w:val="22"/>
            </w:rPr>
            <w:fldChar w:fldCharType="end"/>
          </w:r>
        </w:p>
      </w:tc>
    </w:tr>
  </w:tbl>
  <w:p w:rsidR="004D40BC" w:rsidRDefault="004D40BC" w:rsidP="004D40B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3B685F50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1">
    <w:nsid w:val="FFFFFF89"/>
    <w:multiLevelType w:val="singleLevel"/>
    <w:tmpl w:val="04090009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</w:abstractNum>
  <w:abstractNum w:abstractNumId="2">
    <w:nsid w:val="00030ECC"/>
    <w:multiLevelType w:val="hybridMultilevel"/>
    <w:tmpl w:val="FE5CA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6860519"/>
    <w:multiLevelType w:val="hybridMultilevel"/>
    <w:tmpl w:val="E92AA0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9164952"/>
    <w:multiLevelType w:val="hybridMultilevel"/>
    <w:tmpl w:val="69B232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9A657C5"/>
    <w:multiLevelType w:val="hybridMultilevel"/>
    <w:tmpl w:val="EFF42264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>
    <w:nsid w:val="0F5A1601"/>
    <w:multiLevelType w:val="hybridMultilevel"/>
    <w:tmpl w:val="7DBE68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6C5323"/>
    <w:multiLevelType w:val="hybridMultilevel"/>
    <w:tmpl w:val="04EAD5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3592507E"/>
    <w:multiLevelType w:val="hybridMultilevel"/>
    <w:tmpl w:val="86E68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0D56A7B"/>
    <w:multiLevelType w:val="hybridMultilevel"/>
    <w:tmpl w:val="8DD48F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A1C5CA1"/>
    <w:multiLevelType w:val="hybridMultilevel"/>
    <w:tmpl w:val="0B4E05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F1C18C8"/>
    <w:multiLevelType w:val="hybridMultilevel"/>
    <w:tmpl w:val="E6141A7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>
    <w:nsid w:val="58C82BAD"/>
    <w:multiLevelType w:val="hybridMultilevel"/>
    <w:tmpl w:val="A2C4B008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3964F3A"/>
    <w:multiLevelType w:val="multilevel"/>
    <w:tmpl w:val="73BEE572"/>
    <w:lvl w:ilvl="0">
      <w:start w:val="1"/>
      <w:numFmt w:val="decimal"/>
      <w:pStyle w:val="Heading1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2304"/>
        </w:tabs>
        <w:ind w:left="2304" w:hanging="864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3528"/>
        </w:tabs>
        <w:ind w:left="3528" w:hanging="122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4752"/>
        </w:tabs>
        <w:ind w:left="4752" w:hanging="1224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6120"/>
        </w:tabs>
        <w:ind w:left="6120" w:hanging="1368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4">
    <w:nsid w:val="70303F4D"/>
    <w:multiLevelType w:val="hybridMultilevel"/>
    <w:tmpl w:val="9B186B0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4"/>
  </w:num>
  <w:num w:numId="7">
    <w:abstractNumId w:val="12"/>
  </w:num>
  <w:num w:numId="8">
    <w:abstractNumId w:val="10"/>
  </w:num>
  <w:num w:numId="9">
    <w:abstractNumId w:val="9"/>
  </w:num>
  <w:num w:numId="10">
    <w:abstractNumId w:val="11"/>
  </w:num>
  <w:num w:numId="11">
    <w:abstractNumId w:val="6"/>
  </w:num>
  <w:num w:numId="12">
    <w:abstractNumId w:val="8"/>
  </w:num>
  <w:num w:numId="13">
    <w:abstractNumId w:val="3"/>
  </w:num>
  <w:num w:numId="14">
    <w:abstractNumId w:val="2"/>
  </w:num>
  <w:num w:numId="15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D40BC"/>
    <w:rsid w:val="00023509"/>
    <w:rsid w:val="00037304"/>
    <w:rsid w:val="000A4FD5"/>
    <w:rsid w:val="001E116F"/>
    <w:rsid w:val="00292EC8"/>
    <w:rsid w:val="003A715D"/>
    <w:rsid w:val="004D40BC"/>
    <w:rsid w:val="00630247"/>
    <w:rsid w:val="0068105D"/>
    <w:rsid w:val="006B75B7"/>
    <w:rsid w:val="006E49D3"/>
    <w:rsid w:val="0071082E"/>
    <w:rsid w:val="007444BE"/>
    <w:rsid w:val="00745CFE"/>
    <w:rsid w:val="0075795F"/>
    <w:rsid w:val="007F0628"/>
    <w:rsid w:val="00955FCE"/>
    <w:rsid w:val="009E6AF0"/>
    <w:rsid w:val="00AA6156"/>
    <w:rsid w:val="00B55942"/>
    <w:rsid w:val="00BE45A0"/>
    <w:rsid w:val="00C418D1"/>
    <w:rsid w:val="00C84DFC"/>
    <w:rsid w:val="00CE2EE1"/>
    <w:rsid w:val="00DB2EFF"/>
    <w:rsid w:val="00F75649"/>
    <w:rsid w:val="00F927CE"/>
    <w:rsid w:val="00F965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E2EE1"/>
  </w:style>
  <w:style w:type="paragraph" w:styleId="Heading1">
    <w:name w:val="heading 1"/>
    <w:next w:val="Normal"/>
    <w:link w:val="Heading1Char"/>
    <w:qFormat/>
    <w:rsid w:val="00DB2EFF"/>
    <w:pPr>
      <w:keepNext/>
      <w:numPr>
        <w:numId w:val="4"/>
      </w:numPr>
      <w:spacing w:after="240" w:line="240" w:lineRule="auto"/>
      <w:outlineLvl w:val="0"/>
    </w:pPr>
    <w:rPr>
      <w:rFonts w:ascii="Times New Roman" w:eastAsia="Times New Roman" w:hAnsi="Times New Roman" w:cs="Arial"/>
      <w:b/>
      <w:bCs/>
      <w:kern w:val="32"/>
      <w:sz w:val="28"/>
      <w:szCs w:val="32"/>
    </w:rPr>
  </w:style>
  <w:style w:type="paragraph" w:styleId="Heading2">
    <w:name w:val="heading 2"/>
    <w:basedOn w:val="Heading1"/>
    <w:next w:val="Normal"/>
    <w:link w:val="Heading2Char"/>
    <w:qFormat/>
    <w:rsid w:val="00DB2EFF"/>
    <w:pPr>
      <w:keepNext w:val="0"/>
      <w:numPr>
        <w:ilvl w:val="1"/>
      </w:numPr>
      <w:outlineLvl w:val="1"/>
    </w:pPr>
    <w:rPr>
      <w:bCs w:val="0"/>
      <w:iCs/>
      <w:sz w:val="24"/>
      <w:szCs w:val="28"/>
    </w:rPr>
  </w:style>
  <w:style w:type="paragraph" w:styleId="Heading3">
    <w:name w:val="heading 3"/>
    <w:basedOn w:val="Heading1"/>
    <w:next w:val="Normal"/>
    <w:link w:val="Heading3Char"/>
    <w:qFormat/>
    <w:rsid w:val="00DB2EFF"/>
    <w:pPr>
      <w:keepNext w:val="0"/>
      <w:numPr>
        <w:ilvl w:val="2"/>
      </w:numPr>
      <w:outlineLvl w:val="2"/>
    </w:pPr>
    <w:rPr>
      <w:bCs w:val="0"/>
      <w:sz w:val="24"/>
      <w:szCs w:val="26"/>
    </w:rPr>
  </w:style>
  <w:style w:type="paragraph" w:styleId="Heading4">
    <w:name w:val="heading 4"/>
    <w:basedOn w:val="Heading1"/>
    <w:next w:val="Normal"/>
    <w:link w:val="Heading4Char"/>
    <w:qFormat/>
    <w:rsid w:val="00DB2EFF"/>
    <w:pPr>
      <w:keepNext w:val="0"/>
      <w:numPr>
        <w:ilvl w:val="3"/>
      </w:numPr>
      <w:outlineLvl w:val="3"/>
    </w:pPr>
    <w:rPr>
      <w:bCs w:val="0"/>
      <w:sz w:val="24"/>
      <w:szCs w:val="28"/>
    </w:rPr>
  </w:style>
  <w:style w:type="paragraph" w:styleId="Heading5">
    <w:name w:val="heading 5"/>
    <w:basedOn w:val="Heading1"/>
    <w:next w:val="Normal"/>
    <w:link w:val="Heading5Char"/>
    <w:qFormat/>
    <w:rsid w:val="00DB2EFF"/>
    <w:pPr>
      <w:keepNext w:val="0"/>
      <w:numPr>
        <w:ilvl w:val="4"/>
      </w:numPr>
      <w:outlineLvl w:val="4"/>
    </w:pPr>
    <w:rPr>
      <w:bCs w:val="0"/>
      <w:iCs/>
      <w:sz w:val="24"/>
      <w:szCs w:val="26"/>
    </w:rPr>
  </w:style>
  <w:style w:type="paragraph" w:styleId="Heading6">
    <w:name w:val="heading 6"/>
    <w:basedOn w:val="Heading1"/>
    <w:next w:val="Normal"/>
    <w:link w:val="Heading6Char"/>
    <w:qFormat/>
    <w:rsid w:val="00DB2EFF"/>
    <w:pPr>
      <w:keepNext w:val="0"/>
      <w:numPr>
        <w:ilvl w:val="5"/>
      </w:numPr>
      <w:outlineLvl w:val="5"/>
    </w:pPr>
    <w:rPr>
      <w:bCs w:val="0"/>
      <w:sz w:val="24"/>
      <w:szCs w:val="22"/>
    </w:rPr>
  </w:style>
  <w:style w:type="paragraph" w:styleId="Heading7">
    <w:name w:val="heading 7"/>
    <w:basedOn w:val="Normal"/>
    <w:next w:val="Normal"/>
    <w:link w:val="Heading7Char"/>
    <w:qFormat/>
    <w:rsid w:val="00DB2EFF"/>
    <w:pPr>
      <w:numPr>
        <w:ilvl w:val="6"/>
        <w:numId w:val="4"/>
      </w:numPr>
      <w:spacing w:before="240" w:after="60" w:line="240" w:lineRule="auto"/>
      <w:outlineLvl w:val="6"/>
    </w:pPr>
    <w:rPr>
      <w:rFonts w:ascii="Times New Roman" w:eastAsia="Times New Roman" w:hAnsi="Times New Roman"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qFormat/>
    <w:rsid w:val="00DB2EFF"/>
    <w:pPr>
      <w:numPr>
        <w:ilvl w:val="7"/>
        <w:numId w:val="4"/>
      </w:numPr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qFormat/>
    <w:rsid w:val="00DB2EFF"/>
    <w:pPr>
      <w:numPr>
        <w:ilvl w:val="8"/>
        <w:numId w:val="4"/>
      </w:numPr>
      <w:spacing w:before="240" w:after="60" w:line="240" w:lineRule="auto"/>
      <w:outlineLvl w:val="8"/>
    </w:pPr>
    <w:rPr>
      <w:rFonts w:ascii="Arial" w:eastAsia="Times New Roman" w:hAnsi="Arial"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D40BC"/>
  </w:style>
  <w:style w:type="paragraph" w:styleId="Footer">
    <w:name w:val="footer"/>
    <w:basedOn w:val="Normal"/>
    <w:link w:val="FooterChar"/>
    <w:uiPriority w:val="99"/>
    <w:semiHidden/>
    <w:unhideWhenUsed/>
    <w:rsid w:val="004D40B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D40BC"/>
  </w:style>
  <w:style w:type="paragraph" w:styleId="BalloonText">
    <w:name w:val="Balloon Text"/>
    <w:basedOn w:val="Normal"/>
    <w:link w:val="BalloonTextChar"/>
    <w:uiPriority w:val="99"/>
    <w:semiHidden/>
    <w:unhideWhenUsed/>
    <w:rsid w:val="004D4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0BC"/>
    <w:rPr>
      <w:rFonts w:ascii="Tahoma" w:hAnsi="Tahoma" w:cs="Tahoma"/>
      <w:sz w:val="16"/>
      <w:szCs w:val="16"/>
    </w:rPr>
  </w:style>
  <w:style w:type="paragraph" w:customStyle="1" w:styleId="header--12ptTNR">
    <w:name w:val=".header--12pt TNR"/>
    <w:rsid w:val="004D40BC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header--8ptTNR">
    <w:name w:val=".header--8pt TNR"/>
    <w:rsid w:val="004D40BC"/>
    <w:pPr>
      <w:spacing w:after="0" w:line="240" w:lineRule="auto"/>
    </w:pPr>
    <w:rPr>
      <w:rFonts w:ascii="Times New Roman" w:eastAsia="Times New Roman" w:hAnsi="Times New Roman" w:cs="Times New Roman"/>
      <w:sz w:val="16"/>
      <w:szCs w:val="20"/>
    </w:rPr>
  </w:style>
  <w:style w:type="paragraph" w:customStyle="1" w:styleId="header--12ptTNRBcenter">
    <w:name w:val=".header--12pt TNR B center"/>
    <w:rsid w:val="004D40BC"/>
    <w:pPr>
      <w:spacing w:after="0" w:line="240" w:lineRule="auto"/>
      <w:jc w:val="center"/>
    </w:pPr>
    <w:rPr>
      <w:rFonts w:ascii="Times New Roman" w:eastAsia="Times New Roman" w:hAnsi="Times New Roman" w:cs="Times New Roman"/>
      <w:b/>
      <w:caps/>
      <w:sz w:val="24"/>
      <w:szCs w:val="20"/>
    </w:rPr>
  </w:style>
  <w:style w:type="paragraph" w:customStyle="1" w:styleId="header--10ptTNRItalic">
    <w:name w:val=".header--10pt TNR Italic"/>
    <w:basedOn w:val="header--8ptTNR"/>
    <w:rsid w:val="004D40BC"/>
    <w:rPr>
      <w:i/>
      <w:sz w:val="20"/>
    </w:rPr>
  </w:style>
  <w:style w:type="character" w:customStyle="1" w:styleId="Heading1Char">
    <w:name w:val="Heading 1 Char"/>
    <w:basedOn w:val="DefaultParagraphFont"/>
    <w:link w:val="Heading1"/>
    <w:rsid w:val="00DB2EFF"/>
    <w:rPr>
      <w:rFonts w:ascii="Times New Roman" w:eastAsia="Times New Roman" w:hAnsi="Times New Roman" w:cs="Arial"/>
      <w:b/>
      <w:bCs/>
      <w:kern w:val="32"/>
      <w:sz w:val="28"/>
      <w:szCs w:val="32"/>
    </w:rPr>
  </w:style>
  <w:style w:type="character" w:customStyle="1" w:styleId="Heading2Char">
    <w:name w:val="Heading 2 Char"/>
    <w:basedOn w:val="DefaultParagraphFont"/>
    <w:link w:val="Heading2"/>
    <w:rsid w:val="00DB2EFF"/>
    <w:rPr>
      <w:rFonts w:ascii="Times New Roman" w:eastAsia="Times New Roman" w:hAnsi="Times New Roman" w:cs="Arial"/>
      <w:b/>
      <w:iCs/>
      <w:kern w:val="32"/>
      <w:sz w:val="24"/>
      <w:szCs w:val="28"/>
    </w:rPr>
  </w:style>
  <w:style w:type="character" w:customStyle="1" w:styleId="Heading3Char">
    <w:name w:val="Heading 3 Char"/>
    <w:basedOn w:val="DefaultParagraphFont"/>
    <w:link w:val="Heading3"/>
    <w:rsid w:val="00DB2EFF"/>
    <w:rPr>
      <w:rFonts w:ascii="Times New Roman" w:eastAsia="Times New Roman" w:hAnsi="Times New Roman" w:cs="Arial"/>
      <w:b/>
      <w:kern w:val="32"/>
      <w:sz w:val="24"/>
      <w:szCs w:val="26"/>
    </w:rPr>
  </w:style>
  <w:style w:type="character" w:customStyle="1" w:styleId="Heading4Char">
    <w:name w:val="Heading 4 Char"/>
    <w:basedOn w:val="DefaultParagraphFont"/>
    <w:link w:val="Heading4"/>
    <w:rsid w:val="00DB2EFF"/>
    <w:rPr>
      <w:rFonts w:ascii="Times New Roman" w:eastAsia="Times New Roman" w:hAnsi="Times New Roman" w:cs="Arial"/>
      <w:b/>
      <w:kern w:val="32"/>
      <w:sz w:val="24"/>
      <w:szCs w:val="28"/>
    </w:rPr>
  </w:style>
  <w:style w:type="character" w:customStyle="1" w:styleId="Heading5Char">
    <w:name w:val="Heading 5 Char"/>
    <w:basedOn w:val="DefaultParagraphFont"/>
    <w:link w:val="Heading5"/>
    <w:rsid w:val="00DB2EFF"/>
    <w:rPr>
      <w:rFonts w:ascii="Times New Roman" w:eastAsia="Times New Roman" w:hAnsi="Times New Roman" w:cs="Arial"/>
      <w:b/>
      <w:iCs/>
      <w:kern w:val="32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DB2EFF"/>
    <w:rPr>
      <w:rFonts w:ascii="Times New Roman" w:eastAsia="Times New Roman" w:hAnsi="Times New Roman" w:cs="Arial"/>
      <w:b/>
      <w:kern w:val="32"/>
      <w:sz w:val="24"/>
    </w:rPr>
  </w:style>
  <w:style w:type="character" w:customStyle="1" w:styleId="Heading7Char">
    <w:name w:val="Heading 7 Char"/>
    <w:basedOn w:val="DefaultParagraphFont"/>
    <w:link w:val="Heading7"/>
    <w:rsid w:val="00DB2EFF"/>
    <w:rPr>
      <w:rFonts w:ascii="Times New Roman" w:eastAsia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rsid w:val="00DB2EFF"/>
    <w:rPr>
      <w:rFonts w:ascii="Times New Roman" w:eastAsia="Times New Roman" w:hAnsi="Times New Roman" w:cs="Times New Roman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rsid w:val="00DB2EFF"/>
    <w:rPr>
      <w:rFonts w:ascii="Arial" w:eastAsia="Times New Roman" w:hAnsi="Arial" w:cs="Arial"/>
    </w:rPr>
  </w:style>
  <w:style w:type="paragraph" w:styleId="BodyText">
    <w:name w:val="Body Text"/>
    <w:link w:val="BodyTextChar"/>
    <w:rsid w:val="00DB2EFF"/>
    <w:pPr>
      <w:spacing w:before="60" w:after="120" w:line="240" w:lineRule="auto"/>
      <w:ind w:firstLine="360"/>
    </w:pPr>
    <w:rPr>
      <w:rFonts w:ascii="Times New Roman" w:eastAsia="Times New Roman" w:hAnsi="Times New Roman" w:cs="Times New Roman"/>
      <w:szCs w:val="20"/>
    </w:rPr>
  </w:style>
  <w:style w:type="character" w:customStyle="1" w:styleId="BodyTextChar">
    <w:name w:val="Body Text Char"/>
    <w:basedOn w:val="DefaultParagraphFont"/>
    <w:link w:val="BodyText"/>
    <w:rsid w:val="00DB2EFF"/>
    <w:rPr>
      <w:rFonts w:ascii="Times New Roman" w:eastAsia="Times New Roman" w:hAnsi="Times New Roman" w:cs="Times New Roman"/>
      <w:szCs w:val="20"/>
    </w:rPr>
  </w:style>
  <w:style w:type="paragraph" w:styleId="ListBullet">
    <w:name w:val="List Bullet"/>
    <w:rsid w:val="00DB2EFF"/>
    <w:pPr>
      <w:spacing w:after="120" w:line="240" w:lineRule="auto"/>
    </w:pPr>
    <w:rPr>
      <w:rFonts w:ascii="Times New Roman" w:eastAsia="Times New Roman" w:hAnsi="Times New Roman" w:cs="Times New Roman"/>
      <w:szCs w:val="20"/>
    </w:rPr>
  </w:style>
  <w:style w:type="paragraph" w:customStyle="1" w:styleId="AppendixFlysheetTitles">
    <w:name w:val="Appendix Flysheet Titles"/>
    <w:rsid w:val="00DB2EFF"/>
    <w:pPr>
      <w:spacing w:after="240" w:line="240" w:lineRule="auto"/>
      <w:jc w:val="center"/>
    </w:pPr>
    <w:rPr>
      <w:rFonts w:ascii="Arial" w:eastAsia="Times New Roman" w:hAnsi="Arial" w:cs="Times New Roman"/>
      <w:b/>
      <w:sz w:val="28"/>
      <w:szCs w:val="20"/>
    </w:rPr>
  </w:style>
  <w:style w:type="paragraph" w:styleId="ListBullet2">
    <w:name w:val="List Bullet 2"/>
    <w:basedOn w:val="Normal"/>
    <w:uiPriority w:val="99"/>
    <w:semiHidden/>
    <w:unhideWhenUsed/>
    <w:rsid w:val="00DB2EFF"/>
    <w:pPr>
      <w:numPr>
        <w:numId w:val="2"/>
      </w:numPr>
      <w:contextualSpacing/>
    </w:pPr>
  </w:style>
  <w:style w:type="character" w:styleId="Hyperlink">
    <w:name w:val="Hyperlink"/>
    <w:basedOn w:val="DefaultParagraphFont"/>
    <w:uiPriority w:val="99"/>
    <w:unhideWhenUsed/>
    <w:rsid w:val="00DB2EF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6AF0"/>
    <w:pPr>
      <w:ind w:left="720"/>
      <w:contextualSpacing/>
    </w:pPr>
    <w:rPr>
      <w:rFonts w:ascii="Calibri" w:eastAsia="Calibri" w:hAnsi="Calibri" w:cs="Times New Roman"/>
    </w:rPr>
  </w:style>
  <w:style w:type="paragraph" w:customStyle="1" w:styleId="H1bodytext">
    <w:name w:val="H1 body text"/>
    <w:rsid w:val="00037304"/>
    <w:pPr>
      <w:spacing w:after="240" w:line="240" w:lineRule="auto"/>
      <w:ind w:left="720"/>
    </w:pPr>
    <w:rPr>
      <w:rFonts w:ascii="Times New Roman" w:eastAsia="Times New Roman" w:hAnsi="Times New Roman" w:cs="Times New Roman"/>
      <w:szCs w:val="20"/>
    </w:rPr>
  </w:style>
  <w:style w:type="paragraph" w:customStyle="1" w:styleId="Spacer">
    <w:name w:val="Spacer"/>
    <w:rsid w:val="00037304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Table11">
    <w:name w:val="Table 11"/>
    <w:rsid w:val="00037304"/>
    <w:pPr>
      <w:spacing w:before="60" w:after="0" w:line="240" w:lineRule="auto"/>
    </w:pPr>
    <w:rPr>
      <w:rFonts w:ascii="Times New Roman" w:eastAsia="Times New Roman" w:hAnsi="Times New Roman" w:cs="Times New Roman"/>
      <w:szCs w:val="20"/>
    </w:rPr>
  </w:style>
  <w:style w:type="table" w:styleId="TableGrid">
    <w:name w:val="Table Grid"/>
    <w:basedOn w:val="TableNormal"/>
    <w:rsid w:val="0003730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585</Words>
  <Characters>3336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3914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mosekd</dc:creator>
  <cp:keywords/>
  <dc:description/>
  <cp:lastModifiedBy>INL</cp:lastModifiedBy>
  <cp:revision>5</cp:revision>
  <cp:lastPrinted>2011-06-02T23:10:00Z</cp:lastPrinted>
  <dcterms:created xsi:type="dcterms:W3CDTF">2011-06-02T23:09:00Z</dcterms:created>
  <dcterms:modified xsi:type="dcterms:W3CDTF">2011-06-03T19:45:00Z</dcterms:modified>
</cp:coreProperties>
</file>